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/>
      </w:r>
    </w:p>
    <w:p>
      <w:pPr>
        <w:pStyle w:val="style0"/>
        <w:spacing w:line="100" w:lineRule="atLeast"/>
        <w:ind w:hanging="0" w:left="-360" w:right="-240"/>
        <w:jc w:val="center"/>
      </w:pPr>
      <w:r>
        <w:rPr>
          <w:sz w:val="28"/>
          <w:szCs w:val="28"/>
        </w:rPr>
        <w:t xml:space="preserve">МИНИСТЕРСТВО НАУКИ </w:t>
      </w:r>
      <w:r>
        <w:rPr>
          <w:sz w:val="28"/>
          <w:szCs w:val="28"/>
          <w:lang w:val="ru-RU"/>
        </w:rPr>
        <w:t xml:space="preserve">И ВЫСШЕГО </w:t>
      </w:r>
      <w:r>
        <w:rPr>
          <w:sz w:val="28"/>
          <w:szCs w:val="28"/>
        </w:rPr>
        <w:t>ОБРАЗОВАНИЯ РОССИЙСКОЙ ФЕДЕРАЦИИ</w:t>
      </w:r>
    </w:p>
    <w:p>
      <w:pPr>
        <w:pStyle w:val="style0"/>
        <w:spacing w:line="100" w:lineRule="atLeast"/>
        <w:ind w:hanging="0" w:left="-360" w:right="-240"/>
        <w:jc w:val="center"/>
      </w:pPr>
      <w:r>
        <w:rPr>
          <w:sz w:val="28"/>
          <w:szCs w:val="28"/>
        </w:rPr>
        <w:t>ФЕДЕРАЛЬНОЕ ГОСУДАРСТВЕННОЕ БЮДЖЕТНОЕ</w:t>
      </w:r>
    </w:p>
    <w:p>
      <w:pPr>
        <w:pStyle w:val="style0"/>
        <w:spacing w:line="100" w:lineRule="atLeast"/>
        <w:ind w:hanging="0" w:left="-360" w:right="-240"/>
        <w:jc w:val="center"/>
      </w:pPr>
      <w:r>
        <w:rPr>
          <w:sz w:val="28"/>
          <w:szCs w:val="28"/>
        </w:rPr>
        <w:t xml:space="preserve">ОБРАЗОВАТЕЛЬНОЕ УЧРЕЖДЕНИЕ ВЫСШЕГО ОБРАЗОВАНИЯ      </w:t>
      </w:r>
    </w:p>
    <w:p>
      <w:pPr>
        <w:pStyle w:val="style0"/>
        <w:spacing w:line="100" w:lineRule="atLeast"/>
        <w:ind w:hanging="0" w:left="-360" w:right="-240"/>
        <w:jc w:val="center"/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«ДОНСКОЙ ГОСУДАРСТВЕННЫЙ ТЕХНИЧЕСКИЙ УНИВЕРСИТЕТ»</w:t>
      </w:r>
    </w:p>
    <w:p>
      <w:pPr>
        <w:pStyle w:val="style0"/>
        <w:spacing w:line="100" w:lineRule="atLeast"/>
        <w:ind w:hanging="0" w:left="-360" w:right="-240"/>
        <w:jc w:val="center"/>
      </w:pPr>
      <w:r>
        <w:rPr>
          <w:sz w:val="28"/>
          <w:szCs w:val="28"/>
        </w:rPr>
        <w:t>(ДГТУ)</w:t>
      </w:r>
    </w:p>
    <w:p>
      <w:pPr>
        <w:pStyle w:val="style0"/>
        <w:spacing w:line="100" w:lineRule="atLeast"/>
        <w:jc w:val="center"/>
      </w:pPr>
      <w:r>
        <w:rPr/>
      </w:r>
    </w:p>
    <w:p>
      <w:pPr>
        <w:pStyle w:val="style0"/>
        <w:jc w:val="center"/>
      </w:pPr>
      <w:r>
        <w:rPr/>
      </w:r>
    </w:p>
    <w:p>
      <w:pPr>
        <w:pStyle w:val="style0"/>
        <w:jc w:val="left"/>
      </w:pPr>
      <w:r>
        <w:rPr>
          <w:sz w:val="28"/>
          <w:szCs w:val="28"/>
        </w:rPr>
        <w:t xml:space="preserve">Факультет Медиакоммуникации  и  мультимедийные технологии </w:t>
      </w:r>
    </w:p>
    <w:p>
      <w:pPr>
        <w:pStyle w:val="style0"/>
        <w:jc w:val="left"/>
      </w:pPr>
      <w:r>
        <w:rPr>
          <w:sz w:val="28"/>
          <w:szCs w:val="28"/>
        </w:rPr>
        <w:t xml:space="preserve">Кафедра «Связи с общественностью» 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>
          <w:b/>
          <w:sz w:val="28"/>
          <w:szCs w:val="28"/>
        </w:rPr>
        <w:t xml:space="preserve">МЕТОДИЧЕСКИЕ РЕКОМЕНДАЦИИ И ТЕМАТИКА </w:t>
      </w:r>
    </w:p>
    <w:p>
      <w:pPr>
        <w:pStyle w:val="style0"/>
        <w:jc w:val="center"/>
      </w:pPr>
      <w:r>
        <w:rPr>
          <w:b/>
          <w:sz w:val="28"/>
          <w:szCs w:val="28"/>
        </w:rPr>
        <w:t xml:space="preserve">КОНТРОЛЬНЫХ РАБОТ ПО ДИСЦИПЛИНЕ </w:t>
      </w:r>
    </w:p>
    <w:p>
      <w:pPr>
        <w:pStyle w:val="style0"/>
        <w:jc w:val="center"/>
      </w:pPr>
      <w:r>
        <w:rPr>
          <w:b/>
          <w:sz w:val="28"/>
          <w:szCs w:val="28"/>
        </w:rPr>
        <w:t>«Теория и практика связей с общественностью»</w:t>
      </w:r>
    </w:p>
    <w:p>
      <w:pPr>
        <w:pStyle w:val="style0"/>
        <w:jc w:val="center"/>
      </w:pPr>
      <w:bookmarkStart w:id="0" w:name="__DdeLink__453_1130970405"/>
      <w:bookmarkEnd w:id="0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(для студентов  заочной формы </w:t>
      </w:r>
      <w:bookmarkStart w:id="1" w:name="_GoBack"/>
      <w:bookmarkEnd w:id="1"/>
      <w:r>
        <w:rPr>
          <w:b/>
          <w:sz w:val="28"/>
          <w:szCs w:val="28"/>
        </w:rPr>
        <w:t xml:space="preserve"> обучения </w:t>
      </w:r>
    </w:p>
    <w:p>
      <w:pPr>
        <w:pStyle w:val="style0"/>
        <w:jc w:val="center"/>
      </w:pPr>
      <w:r>
        <w:rPr>
          <w:b/>
          <w:sz w:val="28"/>
          <w:szCs w:val="28"/>
        </w:rPr>
        <w:t>по направлению  42.03.01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«Реклама и связи с общественностью»)</w:t>
      </w:r>
    </w:p>
    <w:p>
      <w:pPr>
        <w:pStyle w:val="style0"/>
        <w:jc w:val="center"/>
      </w:pPr>
      <w:bookmarkStart w:id="2" w:name="__DdeLink__453_11309704051"/>
      <w:bookmarkStart w:id="3" w:name="__DdeLink__453_11309704051"/>
      <w:bookmarkEnd w:id="3"/>
      <w:r>
        <w:rPr/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  <w:jc w:val="center"/>
      </w:pPr>
      <w:r>
        <w:rPr>
          <w:sz w:val="28"/>
          <w:szCs w:val="28"/>
        </w:rPr>
        <w:t>Ростов-на-Дону, 2021</w:t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>
          <w:sz w:val="28"/>
          <w:szCs w:val="28"/>
        </w:rPr>
        <w:t xml:space="preserve">УДК </w:t>
      </w:r>
    </w:p>
    <w:p>
      <w:pPr>
        <w:pStyle w:val="style0"/>
        <w:ind w:firstLine="709" w:left="0" w:right="0"/>
      </w:pPr>
      <w:r>
        <w:rPr/>
      </w:r>
    </w:p>
    <w:p>
      <w:pPr>
        <w:pStyle w:val="style0"/>
        <w:ind w:firstLine="709" w:left="0" w:right="0"/>
      </w:pPr>
      <w:r>
        <w:rPr>
          <w:sz w:val="28"/>
          <w:szCs w:val="28"/>
        </w:rPr>
        <w:t>Составитель: канд. филос. наук, доц.  Л.Г.Орехова</w:t>
      </w:r>
    </w:p>
    <w:p>
      <w:pPr>
        <w:pStyle w:val="style0"/>
        <w:jc w:val="both"/>
      </w:pPr>
      <w:r>
        <w:rPr/>
      </w:r>
    </w:p>
    <w:p>
      <w:pPr>
        <w:pStyle w:val="style0"/>
        <w:spacing w:line="360" w:lineRule="auto"/>
        <w:ind w:firstLine="709" w:left="0" w:right="0"/>
        <w:jc w:val="both"/>
      </w:pPr>
      <w:r>
        <w:rPr>
          <w:sz w:val="28"/>
          <w:szCs w:val="28"/>
        </w:rPr>
        <w:t xml:space="preserve">Теория и практика связей с общественностью:  для </w:t>
      </w:r>
      <w:r>
        <w:rPr>
          <w:bCs/>
          <w:sz w:val="28"/>
          <w:szCs w:val="28"/>
        </w:rPr>
        <w:t xml:space="preserve">  самостоятельной подготовке</w:t>
      </w:r>
      <w:r>
        <w:rPr>
          <w:sz w:val="28"/>
          <w:szCs w:val="28"/>
        </w:rPr>
        <w:t xml:space="preserve"> студентов  по дисциплине «Теория и практика связей с общественностью» для студентов  направления 42.03.01 Реклама и связи с общественностью для  заочной  формы  обучения методические рекомендации и тематика контрольных работ.</w:t>
      </w:r>
    </w:p>
    <w:p>
      <w:pPr>
        <w:pStyle w:val="style0"/>
        <w:ind w:firstLine="709" w:left="0" w:right="0"/>
      </w:pPr>
      <w:r>
        <w:rPr/>
      </w:r>
    </w:p>
    <w:p>
      <w:pPr>
        <w:pStyle w:val="style0"/>
        <w:ind w:firstLine="709" w:left="0" w:right="0"/>
      </w:pPr>
      <w:r>
        <w:rPr/>
      </w:r>
    </w:p>
    <w:p>
      <w:pPr>
        <w:pStyle w:val="style1"/>
        <w:numPr>
          <w:ilvl w:val="0"/>
          <w:numId w:val="1"/>
        </w:numPr>
        <w:ind w:hanging="432" w:left="432" w:right="0"/>
      </w:pPr>
      <w:r>
        <w:rPr>
          <w:sz w:val="28"/>
          <w:szCs w:val="28"/>
        </w:rPr>
        <w:t xml:space="preserve">Содержат </w:t>
      </w:r>
      <w:r>
        <w:rPr>
          <w:sz w:val="28"/>
          <w:szCs w:val="28"/>
          <w:lang w:val="ru-RU"/>
        </w:rPr>
        <w:t>рекомендации по выполнению контрольных работ</w:t>
      </w:r>
      <w:r>
        <w:rPr>
          <w:sz w:val="28"/>
          <w:szCs w:val="28"/>
        </w:rPr>
        <w:t xml:space="preserve">, темы </w:t>
      </w:r>
      <w:r>
        <w:rPr>
          <w:sz w:val="28"/>
          <w:szCs w:val="28"/>
          <w:lang w:val="ru-RU"/>
        </w:rPr>
        <w:t>контрольных работ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у</w:t>
      </w:r>
      <w:r>
        <w:rPr>
          <w:sz w:val="28"/>
          <w:szCs w:val="28"/>
        </w:rPr>
        <w:t>чебно</w:t>
      </w:r>
      <w:r>
        <w:rPr>
          <w:sz w:val="28"/>
          <w:szCs w:val="28"/>
          <w:lang w:val="ru-RU"/>
        </w:rPr>
        <w:t xml:space="preserve"> - </w:t>
      </w:r>
      <w:r>
        <w:rPr>
          <w:sz w:val="28"/>
          <w:szCs w:val="28"/>
        </w:rPr>
        <w:t>методическое и информационное обеспечение дисциплины</w:t>
      </w:r>
      <w:r>
        <w:rPr>
          <w:sz w:val="28"/>
          <w:szCs w:val="28"/>
          <w:lang w:val="ru-RU"/>
        </w:rPr>
        <w:t>.</w:t>
      </w:r>
    </w:p>
    <w:p>
      <w:pPr>
        <w:pStyle w:val="style0"/>
        <w:spacing w:line="360" w:lineRule="auto"/>
        <w:ind w:firstLine="851" w:left="0" w:right="0"/>
        <w:jc w:val="both"/>
      </w:pPr>
      <w:r>
        <w:rPr>
          <w:rFonts w:eastAsia="Times New Roman"/>
          <w:sz w:val="28"/>
          <w:szCs w:val="28"/>
        </w:rPr>
        <w:t xml:space="preserve"> </w:t>
      </w:r>
    </w:p>
    <w:p>
      <w:pPr>
        <w:pStyle w:val="style0"/>
        <w:spacing w:line="360" w:lineRule="auto"/>
        <w:ind w:firstLine="851" w:left="0" w:right="0"/>
        <w:jc w:val="both"/>
      </w:pPr>
      <w:r>
        <w:rPr>
          <w:sz w:val="28"/>
          <w:szCs w:val="28"/>
        </w:rPr>
        <w:t>Предназначено студентам и преподавателям.</w:t>
      </w:r>
    </w:p>
    <w:p>
      <w:pPr>
        <w:pStyle w:val="style0"/>
        <w:spacing w:after="0" w:before="0" w:line="360" w:lineRule="auto"/>
        <w:ind w:firstLine="709" w:left="0" w:right="0"/>
        <w:contextualSpacing w:val="false"/>
        <w:jc w:val="both"/>
      </w:pPr>
      <w:r>
        <w:rPr/>
      </w:r>
    </w:p>
    <w:p>
      <w:pPr>
        <w:pStyle w:val="style0"/>
        <w:spacing w:after="0" w:before="0" w:line="360" w:lineRule="auto"/>
        <w:ind w:firstLine="709" w:left="0" w:right="0"/>
        <w:contextualSpacing w:val="false"/>
        <w:jc w:val="both"/>
      </w:pPr>
      <w:r>
        <w:rPr/>
      </w:r>
    </w:p>
    <w:p>
      <w:pPr>
        <w:pStyle w:val="style0"/>
        <w:spacing w:after="0" w:before="0" w:line="360" w:lineRule="auto"/>
        <w:ind w:firstLine="709" w:left="0" w:right="0"/>
        <w:contextualSpacing w:val="false"/>
        <w:jc w:val="both"/>
      </w:pPr>
      <w:r>
        <w:rPr/>
      </w:r>
    </w:p>
    <w:p>
      <w:pPr>
        <w:pStyle w:val="style0"/>
        <w:spacing w:after="0" w:before="0" w:line="360" w:lineRule="auto"/>
        <w:ind w:firstLine="709" w:left="0" w:right="0"/>
        <w:contextualSpacing w:val="false"/>
        <w:jc w:val="both"/>
      </w:pPr>
      <w:r>
        <w:rPr/>
      </w:r>
    </w:p>
    <w:p>
      <w:pPr>
        <w:pStyle w:val="style0"/>
        <w:spacing w:after="0" w:before="0" w:line="360" w:lineRule="auto"/>
        <w:ind w:firstLine="709" w:left="0" w:right="0"/>
        <w:contextualSpacing w:val="false"/>
        <w:jc w:val="both"/>
      </w:pPr>
      <w:r>
        <w:rPr/>
      </w:r>
    </w:p>
    <w:p>
      <w:pPr>
        <w:pStyle w:val="style0"/>
        <w:spacing w:after="0" w:before="0" w:line="360" w:lineRule="auto"/>
        <w:ind w:firstLine="709" w:left="0" w:right="0"/>
        <w:contextualSpacing w:val="false"/>
        <w:jc w:val="both"/>
      </w:pPr>
      <w:r>
        <w:rPr/>
      </w:r>
    </w:p>
    <w:p>
      <w:pPr>
        <w:pStyle w:val="style0"/>
        <w:spacing w:after="0" w:before="0" w:line="360" w:lineRule="auto"/>
        <w:ind w:firstLine="709" w:left="0" w:right="0"/>
        <w:contextualSpacing w:val="false"/>
        <w:jc w:val="both"/>
      </w:pPr>
      <w:r>
        <w:rPr/>
      </w:r>
    </w:p>
    <w:p>
      <w:pPr>
        <w:pStyle w:val="style0"/>
        <w:spacing w:after="0" w:before="0" w:line="360" w:lineRule="auto"/>
        <w:ind w:firstLine="709" w:left="0" w:right="0"/>
        <w:contextualSpacing w:val="false"/>
        <w:jc w:val="both"/>
      </w:pPr>
      <w:r>
        <w:rPr/>
      </w:r>
    </w:p>
    <w:p>
      <w:pPr>
        <w:pStyle w:val="style0"/>
        <w:spacing w:after="0" w:before="0" w:line="360" w:lineRule="auto"/>
        <w:ind w:firstLine="709" w:left="0" w:right="0"/>
        <w:contextualSpacing w:val="false"/>
        <w:jc w:val="both"/>
      </w:pPr>
      <w:r>
        <w:rPr/>
      </w:r>
    </w:p>
    <w:p>
      <w:pPr>
        <w:pStyle w:val="style0"/>
        <w:spacing w:after="0" w:before="0" w:line="360" w:lineRule="auto"/>
        <w:ind w:firstLine="709" w:left="0" w:right="0"/>
        <w:contextualSpacing w:val="false"/>
        <w:jc w:val="both"/>
      </w:pPr>
      <w:r>
        <w:rPr/>
      </w:r>
    </w:p>
    <w:p>
      <w:pPr>
        <w:pStyle w:val="style0"/>
        <w:spacing w:after="0" w:before="0" w:line="360" w:lineRule="auto"/>
        <w:ind w:firstLine="709" w:left="0" w:right="0"/>
        <w:contextualSpacing w:val="false"/>
        <w:jc w:val="both"/>
      </w:pPr>
      <w:r>
        <w:rPr/>
      </w:r>
    </w:p>
    <w:p>
      <w:pPr>
        <w:pStyle w:val="style0"/>
        <w:spacing w:after="0" w:before="0" w:line="360" w:lineRule="auto"/>
        <w:ind w:firstLine="709" w:left="0" w:right="0"/>
        <w:contextualSpacing w:val="false"/>
        <w:jc w:val="both"/>
      </w:pPr>
      <w:r>
        <w:rPr/>
      </w:r>
    </w:p>
    <w:p>
      <w:pPr>
        <w:pStyle w:val="style0"/>
        <w:spacing w:after="0" w:before="0" w:line="360" w:lineRule="auto"/>
        <w:ind w:firstLine="709" w:left="0" w:right="0"/>
        <w:contextualSpacing w:val="false"/>
        <w:jc w:val="both"/>
      </w:pPr>
      <w:r>
        <w:rPr/>
      </w:r>
    </w:p>
    <w:p>
      <w:pPr>
        <w:pStyle w:val="style0"/>
        <w:spacing w:after="0" w:before="0" w:line="360" w:lineRule="auto"/>
        <w:ind w:firstLine="709" w:left="0" w:right="0"/>
        <w:contextualSpacing w:val="false"/>
        <w:jc w:val="both"/>
      </w:pPr>
      <w:r>
        <w:rPr/>
      </w:r>
    </w:p>
    <w:p>
      <w:pPr>
        <w:pStyle w:val="style0"/>
        <w:spacing w:after="0" w:before="0" w:line="360" w:lineRule="auto"/>
        <w:ind w:firstLine="709" w:left="0" w:right="0"/>
        <w:contextualSpacing w:val="false"/>
        <w:jc w:val="both"/>
      </w:pPr>
      <w:r>
        <w:rPr/>
      </w:r>
    </w:p>
    <w:p>
      <w:pPr>
        <w:pStyle w:val="style0"/>
        <w:spacing w:after="0" w:before="0" w:line="360" w:lineRule="auto"/>
        <w:ind w:hanging="0" w:left="0" w:right="0"/>
        <w:contextualSpacing w:val="false"/>
        <w:jc w:val="both"/>
      </w:pPr>
      <w:r>
        <w:rPr/>
      </w:r>
    </w:p>
    <w:p>
      <w:pPr>
        <w:pStyle w:val="style0"/>
        <w:spacing w:after="0" w:before="0" w:line="360" w:lineRule="auto"/>
        <w:ind w:firstLine="709" w:left="0" w:right="0"/>
        <w:contextualSpacing w:val="false"/>
        <w:jc w:val="both"/>
      </w:pPr>
      <w:r>
        <w:rPr/>
      </w:r>
    </w:p>
    <w:p>
      <w:pPr>
        <w:pStyle w:val="style0"/>
        <w:spacing w:after="0" w:before="0" w:line="360" w:lineRule="auto"/>
        <w:ind w:firstLine="709" w:left="0" w:right="0"/>
        <w:contextualSpacing w:val="false"/>
        <w:jc w:val="both"/>
      </w:pPr>
      <w:r>
        <w:rPr/>
      </w:r>
    </w:p>
    <w:p>
      <w:pPr>
        <w:pStyle w:val="style0"/>
        <w:spacing w:after="0" w:before="0" w:line="360" w:lineRule="auto"/>
        <w:ind w:firstLine="680" w:left="0" w:right="0"/>
        <w:contextualSpacing w:val="false"/>
        <w:jc w:val="both"/>
      </w:pPr>
      <w:r>
        <w:rPr>
          <w:rFonts w:cs="Times New Roman" w:eastAsia="Times New Roman"/>
          <w:sz w:val="28"/>
          <w:szCs w:val="28"/>
        </w:rPr>
        <w:t xml:space="preserve">  </w:t>
      </w:r>
      <w:r>
        <w:rPr>
          <w:rFonts w:cs="Times New Roman" w:eastAsia="Times New Roman"/>
          <w:sz w:val="28"/>
          <w:szCs w:val="28"/>
        </w:rPr>
        <w:t xml:space="preserve">Изучение курса «Теория и практика связей с общественностью» позволяет студентам получить объем знаний и практических навыков, необходимых для осуществления профессиональной деятельности в области рекламы и связей с общественностью. Формирование связей с общественностью в современном обществе является важным компонентом работы предприятий, организаций, компаний, а владение компетенциями менеджера по коммуникациям делает выпускников востребованными на рынке труда. Сегодня необходимым условием получения высоких результатов в коммерческой и некоммерческой деятельности становится организация связей с общественностью, формирование достойного имиджа и деловой репутации предприятия. </w:t>
      </w:r>
    </w:p>
    <w:p>
      <w:pPr>
        <w:pStyle w:val="style0"/>
        <w:spacing w:after="0" w:before="0" w:line="360" w:lineRule="auto"/>
        <w:ind w:firstLine="680" w:left="0" w:right="0"/>
        <w:contextualSpacing w:val="false"/>
        <w:jc w:val="both"/>
      </w:pPr>
      <w:r>
        <w:rPr>
          <w:rFonts w:cs="Times New Roman"/>
          <w:sz w:val="28"/>
          <w:szCs w:val="28"/>
        </w:rPr>
        <w:t xml:space="preserve">Цель дисциплины «Теория и практика связей с общественностью» – научить студентов теоретическому осмыслению процесса установления общественных связей, практическому применению средств и инструментов PR в различных сферах. </w:t>
      </w:r>
    </w:p>
    <w:p>
      <w:pPr>
        <w:pStyle w:val="style0"/>
        <w:spacing w:after="0" w:before="0" w:line="360" w:lineRule="auto"/>
        <w:ind w:firstLine="680" w:left="0" w:right="0"/>
        <w:contextualSpacing w:val="false"/>
        <w:jc w:val="both"/>
      </w:pPr>
      <w:r>
        <w:rPr>
          <w:rFonts w:cs="Times New Roman"/>
          <w:sz w:val="28"/>
          <w:szCs w:val="28"/>
        </w:rPr>
        <w:t xml:space="preserve">В соответствии с целями и задачами курса на лекциях студенты знакомятся с основными понятиями, состоянием рынка коммуникационных услуг и перспективами его развития, инструментами и технологиями связей с общественностью. </w:t>
      </w:r>
    </w:p>
    <w:p>
      <w:pPr>
        <w:pStyle w:val="style0"/>
        <w:spacing w:after="0" w:before="0" w:line="360" w:lineRule="auto"/>
        <w:ind w:firstLine="680" w:left="0" w:right="0"/>
        <w:contextualSpacing w:val="false"/>
        <w:jc w:val="both"/>
      </w:pPr>
      <w:r>
        <w:rPr>
          <w:sz w:val="28"/>
          <w:szCs w:val="28"/>
        </w:rPr>
        <w:t>К промежуточной аттестации  студент должен выполнить контрольную работу, которая должна соответствовать предъявляемым требованиям к письменным работам по оформлению и содержанию, изложенных в документах ДГТУ: «Правила оформления письменных работ  обучающихся для гуманитарных направлений подготовки» и «Правила применения шаблонов оформления письменных работ обучающихся».</w:t>
      </w:r>
    </w:p>
    <w:p>
      <w:pPr>
        <w:pStyle w:val="style0"/>
        <w:spacing w:line="360" w:lineRule="auto"/>
        <w:ind w:firstLine="720" w:left="0" w:right="0"/>
        <w:jc w:val="both"/>
      </w:pPr>
      <w:r>
        <w:rPr>
          <w:b/>
          <w:bCs/>
          <w:sz w:val="28"/>
          <w:szCs w:val="28"/>
        </w:rPr>
        <w:t>Контрольная работа –</w:t>
      </w:r>
      <w:r>
        <w:rPr>
          <w:sz w:val="28"/>
          <w:szCs w:val="28"/>
        </w:rPr>
        <w:t xml:space="preserve"> одна из основных форм межсессионных заданий для студентов заочной формы обучения. Письменные работы выполняются по специальной тематике контрольных работ, составленной кафедрой «Связи с общественностью» на основе учебной программы курса «Теория и практика связей с общественностью». Согласно учебному плану студент заочной формы обучения обязан выполнить одну контрольную работу за семестр. </w:t>
      </w:r>
      <w:r>
        <w:rPr>
          <w:b/>
          <w:sz w:val="28"/>
          <w:szCs w:val="28"/>
        </w:rPr>
        <w:t>Номер контрольной работы должен соответствовать последней цифре номера зачетной книжки студента</w:t>
      </w:r>
      <w:r>
        <w:rPr>
          <w:sz w:val="28"/>
          <w:szCs w:val="28"/>
        </w:rPr>
        <w:t xml:space="preserve">. </w:t>
      </w:r>
    </w:p>
    <w:p>
      <w:pPr>
        <w:pStyle w:val="style0"/>
        <w:spacing w:line="360" w:lineRule="auto"/>
        <w:ind w:firstLine="720" w:left="0" w:right="0"/>
        <w:jc w:val="both"/>
      </w:pPr>
      <w:r>
        <w:rPr>
          <w:sz w:val="28"/>
          <w:szCs w:val="28"/>
        </w:rPr>
        <w:t>Контрольная работа должна состоять из введения, основной части и заключения. Во введении следует дать обоснование важности и актуальности избранной темы, сформулировать задачи работы, осуществить обзор использованной литературы и источников. При раскрытии основных вопросов необходимо обеспечить их полное соответствие формулировкам плана. Каждый раздел основной части должен завершаться краткими выводами. Заключение контрольной работы не должно содержать новых фактических данных. В нем резюмируется содержание работы, делаются четкие выводы по всей теме.</w:t>
      </w:r>
    </w:p>
    <w:p>
      <w:pPr>
        <w:pStyle w:val="style0"/>
        <w:spacing w:line="360" w:lineRule="auto"/>
        <w:ind w:firstLine="720" w:left="0" w:right="0"/>
        <w:jc w:val="both"/>
      </w:pPr>
      <w:r>
        <w:rPr>
          <w:sz w:val="28"/>
          <w:szCs w:val="28"/>
        </w:rPr>
        <w:t xml:space="preserve">Контрольная работа должна быть написано грамотно, необходимо стремиться к ясному и четкому стилю изложения материала. Приводимые в тексте цитаты необходимо снабжать ссылками на источники. В конце контрольной работы приводится список литературы (в алфавитном порядке), использованной студентом, при этом следует использовать преимущественно литературу последних лет издания, не менее пяти наименований. Требования к оформлению списка литературы и титульного листа работы смотрите в следующих документах ДГТУ: «Правила оформления письменных работ  обучающихся для гуманитарных направлений подготовки»  </w:t>
      </w:r>
      <w:bookmarkStart w:id="4" w:name="__DdeLink__6245_721813297"/>
      <w:r>
        <w:rPr>
          <w:sz w:val="28"/>
          <w:szCs w:val="28"/>
        </w:rPr>
        <w:t>и «Правила применения шаблонов оформления письменных работ обучающихся</w:t>
      </w:r>
      <w:bookmarkEnd w:id="4"/>
      <w:r>
        <w:rPr>
          <w:sz w:val="28"/>
          <w:szCs w:val="28"/>
        </w:rPr>
        <w:t>».</w:t>
      </w:r>
    </w:p>
    <w:p>
      <w:pPr>
        <w:pStyle w:val="style0"/>
        <w:spacing w:line="360" w:lineRule="auto"/>
        <w:ind w:firstLine="720" w:left="0" w:right="0"/>
        <w:jc w:val="both"/>
      </w:pPr>
      <w:r>
        <w:rPr>
          <w:sz w:val="28"/>
          <w:szCs w:val="28"/>
        </w:rPr>
        <w:t xml:space="preserve">Заключительный этап – оформление контрольной работы. Контрольная работа выполняется на стандартных листах белой бумаги формата А4. Текст работы должен быть набран на компьютере: шрифт Times New Roman, размер кегля – 14, межстрочный интервал – 1,5. Поля: слева – 3 см; сверху и снизу – 2,0 см; справа – 1,5 см. Красная строка – 1,25 см. Объем контрольной работы – 15-20 страниц. Нумерация страниц – сквозная. Номера страниц на титульном листе и втором листе с планом контрольной работы не ставятся. Каждый раздел работы, имеющий свой заголовок, начинается с новой страницы. Заголовок помещается в её верхней части и выделяется более крупным или жирным шрифтом. </w:t>
      </w:r>
    </w:p>
    <w:p>
      <w:pPr>
        <w:pStyle w:val="style0"/>
        <w:spacing w:line="360" w:lineRule="auto"/>
        <w:ind w:firstLine="720" w:left="0" w:right="0"/>
        <w:jc w:val="both"/>
      </w:pPr>
      <w:r>
        <w:rPr>
          <w:sz w:val="28"/>
          <w:szCs w:val="28"/>
        </w:rPr>
        <w:t xml:space="preserve">При выполнении всех требований, предъявляемых к контрольной работе, студент получает доступ к ее защите. Все замечания, указанные в рецензии, необходимо учесть, то есть внести дополнения и изменения к основному тексту на дополнительных листах. На зачете или экзамене студент представляет экзаменатору свою контрольную работу и текст дополнений (если таковые имеются). </w:t>
      </w:r>
    </w:p>
    <w:p>
      <w:pPr>
        <w:pStyle w:val="style0"/>
        <w:spacing w:line="360" w:lineRule="auto"/>
        <w:ind w:firstLine="720" w:left="0" w:right="0"/>
        <w:jc w:val="both"/>
      </w:pPr>
      <w:r>
        <w:rPr>
          <w:sz w:val="28"/>
          <w:szCs w:val="28"/>
        </w:rPr>
        <w:t xml:space="preserve">Если контрольная работа не соответствует изложенным выше требованиям, то она не зачитывается. Студент обязан переработать ее полностью или отдельные разделы в соответствии с полученными замечаниями. Сроки представления контрольной работы при этом не изменяются. </w:t>
      </w:r>
    </w:p>
    <w:p>
      <w:pPr>
        <w:pStyle w:val="style0"/>
        <w:spacing w:line="360" w:lineRule="auto"/>
        <w:ind w:firstLine="720" w:left="0" w:right="0"/>
        <w:jc w:val="both"/>
      </w:pPr>
      <w:r>
        <w:rPr>
          <w:sz w:val="28"/>
          <w:szCs w:val="28"/>
        </w:rPr>
        <w:t xml:space="preserve">Для проверки выполнения студентами указаний, сделанных преподавателем в рецензиях, и для методической помощи студентам проводятся собеседования в сроки, установленные деканатом. Результаты собеседований засчитываются преподавателем при выставлении зачетов по итогам работы студентов в период зачетно-экзаменационной сессии. </w:t>
      </w:r>
    </w:p>
    <w:p>
      <w:pPr>
        <w:pStyle w:val="style0"/>
        <w:spacing w:line="360" w:lineRule="auto"/>
        <w:ind w:firstLine="720" w:left="0" w:right="0"/>
        <w:jc w:val="both"/>
      </w:pPr>
      <w:r>
        <w:rPr>
          <w:sz w:val="28"/>
          <w:szCs w:val="28"/>
        </w:rPr>
        <w:t xml:space="preserve">Студенты, получившие зачет за выполненную контрольную работу, допускаются к итоговой аттестации. </w:t>
      </w:r>
    </w:p>
    <w:p>
      <w:pPr>
        <w:pStyle w:val="style0"/>
        <w:spacing w:line="360" w:lineRule="auto"/>
        <w:jc w:val="center"/>
      </w:pPr>
      <w:r>
        <w:rPr>
          <w:rFonts w:cs="Times New Roman"/>
          <w:b/>
          <w:sz w:val="28"/>
          <w:szCs w:val="28"/>
        </w:rPr>
        <w:t>Темы контрольных работ (выполняется в осеннем семестре)</w:t>
      </w:r>
    </w:p>
    <w:p>
      <w:pPr>
        <w:pStyle w:val="style0"/>
        <w:spacing w:line="360" w:lineRule="auto"/>
        <w:jc w:val="left"/>
      </w:pPr>
      <w:r>
        <w:rPr>
          <w:rFonts w:cs="Times New Roman"/>
          <w:b w:val="false"/>
          <w:bCs w:val="false"/>
          <w:sz w:val="28"/>
          <w:szCs w:val="28"/>
        </w:rPr>
        <w:t>1. Предпосылки возникновения PR. Социальные, экономические и политические причины возникновения связей с общественностью.</w:t>
      </w:r>
    </w:p>
    <w:p>
      <w:pPr>
        <w:pStyle w:val="style0"/>
        <w:spacing w:line="360" w:lineRule="auto"/>
        <w:jc w:val="left"/>
      </w:pPr>
      <w:r>
        <w:rPr>
          <w:rFonts w:cs="Times New Roman"/>
          <w:b w:val="false"/>
          <w:bCs w:val="false"/>
          <w:sz w:val="28"/>
          <w:szCs w:val="28"/>
        </w:rPr>
        <w:t>2. Основные исторические этапы становления и развития PR в США, за рубежом.</w:t>
        <w:br/>
        <w:t xml:space="preserve">3. Развитие западного и российского PR в ХХ-XXI вв. </w:t>
        <w:br/>
        <w:t xml:space="preserve">4. PR как профессия, первые профессионалы и основные профессиональные объединения в области PR. </w:t>
        <w:br/>
        <w:t xml:space="preserve">5. Основные подходы к определению PR. </w:t>
      </w:r>
      <w:r>
        <w:rPr>
          <w:rFonts w:cs="Times New Roman"/>
          <w:b w:val="false"/>
          <w:bCs w:val="false"/>
          <w:sz w:val="28"/>
          <w:szCs w:val="28"/>
        </w:rPr>
        <w:t>Сущность, цели и задачи связей собщественностью.</w:t>
      </w:r>
      <w:r>
        <w:rPr>
          <w:rFonts w:cs="Times New Roman"/>
          <w:b w:val="false"/>
          <w:bCs w:val="false"/>
          <w:sz w:val="28"/>
          <w:szCs w:val="28"/>
        </w:rPr>
        <w:br/>
        <w:t xml:space="preserve">6. Этическое регулирование деятельности в сфере связей с общественностью. </w:t>
        <w:br/>
        <w:t xml:space="preserve">7. Содержание деятельности PR: компоненты, направления и сферы применения. </w:t>
        <w:br/>
        <w:t>8. PR как процесс: основные принципы, функции, цели и задачи.</w:t>
        <w:br/>
        <w:t>9. PR как коммуникация. Коммуникативная модель PR. Элементы и этапы процесса коммуникации.</w:t>
        <w:br/>
        <w:t>10. Коммуникационные барьеры и способы их преодоления.</w:t>
        <w:br/>
        <w:t>11.Модель коммуникации Г. Лассуэла и модель коммуникации О. Шрамма.</w:t>
        <w:br/>
        <w:t xml:space="preserve">12.Модель PR  Дж. Грюнига и Т. Ханта. Практическое применение </w:t>
      </w:r>
      <w:r>
        <w:rPr>
          <w:rFonts w:cs="Times New Roman"/>
          <w:b w:val="false"/>
          <w:bCs w:val="false"/>
          <w:sz w:val="28"/>
          <w:szCs w:val="28"/>
        </w:rPr>
        <w:t xml:space="preserve">коммуникационных моделей </w:t>
      </w:r>
      <w:r>
        <w:rPr>
          <w:rFonts w:cs="Times New Roman"/>
          <w:b w:val="false"/>
          <w:bCs w:val="false"/>
          <w:sz w:val="28"/>
          <w:szCs w:val="28"/>
        </w:rPr>
        <w:t xml:space="preserve"> в </w:t>
      </w:r>
      <w:r>
        <w:rPr>
          <w:rFonts w:cs="Times New Roman"/>
          <w:b w:val="false"/>
          <w:bCs w:val="false"/>
          <w:sz w:val="28"/>
          <w:szCs w:val="28"/>
          <w:lang w:val="en-US"/>
        </w:rPr>
        <w:t>PR</w:t>
      </w:r>
      <w:r>
        <w:rPr>
          <w:rFonts w:cs="Times New Roman"/>
          <w:b w:val="false"/>
          <w:bCs w:val="false"/>
          <w:sz w:val="28"/>
          <w:szCs w:val="28"/>
          <w:lang w:val="ru-RU"/>
        </w:rPr>
        <w:t>-деятельности</w:t>
      </w:r>
      <w:r>
        <w:rPr>
          <w:rFonts w:cs="Times New Roman"/>
          <w:b w:val="false"/>
          <w:bCs w:val="false"/>
          <w:sz w:val="28"/>
          <w:szCs w:val="28"/>
        </w:rPr>
        <w:br/>
        <w:t>13. Мультишаговая модель коммуникации. Колесо Бернштейна.</w:t>
        <w:br/>
        <w:t>14. Модель диффузных кругов и модель «иерархии воздействий».</w:t>
        <w:br/>
        <w:t>15. Понятие общественности в теории о связях с общественностью. Соотношение понятий «общественность» и «аудитория» в PR.</w:t>
        <w:br/>
        <w:t>16. Ситуативный подход к формированию групп общественности. Типология общественности Дж. Грюнига.</w:t>
        <w:br/>
        <w:t>17.Понятие общественного мнения, его содержание и структура.</w:t>
        <w:br/>
        <w:t>18. Закономерности общественного мнения и основы управления общественным мнением.</w:t>
        <w:br/>
        <w:t xml:space="preserve">19. Социологические исследования в PR. Основные методы социологических исследований. </w:t>
        <w:br/>
        <w:t>20. Методы и приемы сбора информации.</w:t>
        <w:br/>
        <w:t xml:space="preserve">21. Проблема выборки, типы и виды выборки в исследовании. </w:t>
        <w:br/>
        <w:t xml:space="preserve">22. Медиа исследования: цели, задачи, виды. </w:t>
        <w:br/>
        <w:t>23.Метод контет-анализа: цель, основные единицы анализа</w:t>
        <w:br/>
        <w:t>24. Информационный и коммуникационный аудит.</w:t>
        <w:br/>
        <w:t>25. СМИ как инструмент PR. Традиционные и новые СМИ.</w:t>
        <w:br/>
        <w:t>26. Основные требования к PR тексту.</w:t>
        <w:br/>
        <w:t>27.Приемы конструирования новостной информации.</w:t>
        <w:br/>
        <w:t>28. Пресс-релиз: виды и содержание.</w:t>
        <w:br/>
        <w:t>29. Медиа-кит: требования к содержанию и использование.</w:t>
        <w:br/>
        <w:t>30. Создание информационных поводов. Этапы формирования собственного информационного потока</w:t>
        <w:br/>
      </w:r>
    </w:p>
    <w:p>
      <w:pPr>
        <w:pStyle w:val="style0"/>
        <w:spacing w:line="360" w:lineRule="auto"/>
        <w:jc w:val="center"/>
      </w:pPr>
      <w:r>
        <w:rPr>
          <w:rFonts w:cs="Times New Roman"/>
          <w:b/>
          <w:sz w:val="28"/>
          <w:szCs w:val="28"/>
        </w:rPr>
        <w:t>Литература</w:t>
      </w:r>
    </w:p>
    <w:p>
      <w:pPr>
        <w:pStyle w:val="style0"/>
        <w:spacing w:line="360" w:lineRule="auto"/>
        <w:jc w:val="both"/>
      </w:pPr>
      <w:r>
        <w:rPr>
          <w:rFonts w:cs="Times New Roman"/>
          <w:b w:val="false"/>
          <w:bCs w:val="false"/>
          <w:sz w:val="28"/>
          <w:szCs w:val="28"/>
        </w:rPr>
        <w:t xml:space="preserve">1.  Варакута, С. А. Связи с общественностью : учебное пособие / С. А. Варакута. — Москва : ИНФРА-М, 2019. — 207 с. </w:t>
      </w:r>
    </w:p>
    <w:p>
      <w:pPr>
        <w:pStyle w:val="style0"/>
        <w:spacing w:line="360" w:lineRule="auto"/>
        <w:jc w:val="both"/>
      </w:pPr>
      <w:r>
        <w:rPr>
          <w:rFonts w:cs="Times New Roman"/>
          <w:b w:val="false"/>
          <w:bCs w:val="false"/>
          <w:sz w:val="28"/>
          <w:szCs w:val="28"/>
        </w:rPr>
        <w:t xml:space="preserve">2. Душкина, М. Р. Технологии рекламы и связей с общественностью в маркетинге : учебник для вузов / М. Р. Душкина. – Москва : Издательство Юрайт, 2021. – 462 с. </w:t>
      </w:r>
    </w:p>
    <w:p>
      <w:pPr>
        <w:pStyle w:val="style0"/>
        <w:spacing w:line="360" w:lineRule="auto"/>
        <w:jc w:val="both"/>
      </w:pPr>
      <w:r>
        <w:rPr>
          <w:rFonts w:cs="Times New Roman"/>
          <w:b w:val="false"/>
          <w:bCs w:val="false"/>
          <w:sz w:val="28"/>
          <w:szCs w:val="28"/>
        </w:rPr>
        <w:t xml:space="preserve">3. Емельянов, С. М. Теория и практика связей с общественностью : учебное пособие для вузов / С. М. Емельянов. – 2-е изд., испр. и доп. – Москва : Издательство Юрайт, 2021. – 197 с. </w:t>
      </w:r>
    </w:p>
    <w:p>
      <w:pPr>
        <w:pStyle w:val="style0"/>
        <w:spacing w:line="360" w:lineRule="auto"/>
        <w:jc w:val="both"/>
      </w:pPr>
      <w:r>
        <w:rPr>
          <w:rFonts w:cs="Times New Roman"/>
          <w:b w:val="false"/>
          <w:bCs w:val="false"/>
          <w:sz w:val="28"/>
          <w:szCs w:val="28"/>
        </w:rPr>
        <w:t xml:space="preserve">4. Жильцова, О. Н. Связи с общественностью : учебное пособие для вузов / О. Н. Жильцова, И. М. Синяева, Д. А. Жильцов. – Москва : Издательство Юрайт, 2021. – 337 с. </w:t>
      </w:r>
    </w:p>
    <w:p>
      <w:pPr>
        <w:pStyle w:val="style0"/>
        <w:spacing w:line="360" w:lineRule="auto"/>
        <w:jc w:val="both"/>
      </w:pPr>
      <w:r>
        <w:rPr>
          <w:rFonts w:cs="Times New Roman"/>
          <w:b w:val="false"/>
          <w:bCs w:val="false"/>
          <w:sz w:val="28"/>
          <w:szCs w:val="28"/>
        </w:rPr>
        <w:t xml:space="preserve">5. Коноваленко, В. А. Реклама и связи с общественностью: введение в специальность : учебник / В. А. Коноваленко, М. Ю. Коноваленко, Н. Г. Швед. – Москва : Издательство Юрайт, 2021. – 383 с. </w:t>
      </w:r>
    </w:p>
    <w:p>
      <w:pPr>
        <w:pStyle w:val="style0"/>
        <w:spacing w:line="360" w:lineRule="auto"/>
        <w:jc w:val="both"/>
      </w:pPr>
      <w:r>
        <w:rPr>
          <w:rFonts w:cs="Times New Roman"/>
          <w:b w:val="false"/>
          <w:bCs w:val="false"/>
          <w:sz w:val="28"/>
          <w:szCs w:val="28"/>
        </w:rPr>
        <w:t>6. Кузнецов, П. А. Public Relations. Связи с общественностью для бизнеса: практические приемы и технологии / П. А. Кузнецов. — Москва : Дашков и К, 2021. — 294 с.</w:t>
      </w:r>
    </w:p>
    <w:p>
      <w:pPr>
        <w:pStyle w:val="style0"/>
        <w:spacing w:line="360" w:lineRule="auto"/>
        <w:jc w:val="both"/>
      </w:pPr>
      <w:r>
        <w:rPr>
          <w:rFonts w:cs="Times New Roman"/>
          <w:b w:val="false"/>
          <w:bCs w:val="false"/>
          <w:sz w:val="28"/>
          <w:szCs w:val="28"/>
        </w:rPr>
        <w:t>7. Макарычев, В. Н. Система интегрированных коммуникаций рекламы и связей с общественностью / В. Н. Макарычев. – Москва : Научные технологии, 2020. – 118 с.</w:t>
      </w:r>
    </w:p>
    <w:p>
      <w:pPr>
        <w:pStyle w:val="style0"/>
        <w:spacing w:line="360" w:lineRule="auto"/>
        <w:jc w:val="both"/>
      </w:pPr>
      <w:r>
        <w:rPr>
          <w:rFonts w:cs="Times New Roman"/>
          <w:b w:val="false"/>
          <w:bCs w:val="false"/>
          <w:sz w:val="28"/>
          <w:szCs w:val="28"/>
        </w:rPr>
        <w:t>8. Марков, А. А. Связи с общественностью в органах власти : учебник / А. А. Марков. – Москва : ИНФРА-М, 2019. – 190 с.</w:t>
      </w:r>
    </w:p>
    <w:p>
      <w:pPr>
        <w:pStyle w:val="style0"/>
        <w:spacing w:line="360" w:lineRule="auto"/>
        <w:jc w:val="both"/>
      </w:pPr>
      <w:r>
        <w:rPr>
          <w:rFonts w:cs="Times New Roman"/>
          <w:b w:val="false"/>
          <w:bCs w:val="false"/>
          <w:sz w:val="28"/>
          <w:szCs w:val="28"/>
        </w:rPr>
        <w:t>9. Маслова, В. М. Связи с общественностью в управлении персоналом : учебное пособие / В. М. Маслова. – 2-е изд., перераб. и доп. – Москва : Вузовский учебник : ИНФРА-М, 2020. – 207 с.</w:t>
      </w:r>
    </w:p>
    <w:p>
      <w:pPr>
        <w:pStyle w:val="style0"/>
        <w:spacing w:line="360" w:lineRule="auto"/>
        <w:jc w:val="both"/>
      </w:pPr>
      <w:r>
        <w:rPr>
          <w:rFonts w:cs="Times New Roman"/>
          <w:b w:val="false"/>
          <w:bCs w:val="false"/>
          <w:sz w:val="28"/>
          <w:szCs w:val="28"/>
        </w:rPr>
        <w:t>10. Морозова, Г. А. Психология рекламы и связей с общественностью : Учебное пособие / Г. А. Морозова, В. А. Зимин. – Самара : ООО «Научно-технический центр, 2020. – 160 с.</w:t>
      </w:r>
    </w:p>
    <w:p>
      <w:pPr>
        <w:pStyle w:val="style0"/>
        <w:spacing w:line="360" w:lineRule="auto"/>
        <w:jc w:val="both"/>
      </w:pPr>
      <w:r>
        <w:rPr>
          <w:rFonts w:cs="Times New Roman"/>
          <w:b w:val="false"/>
          <w:bCs w:val="false"/>
          <w:sz w:val="28"/>
          <w:szCs w:val="28"/>
        </w:rPr>
        <w:t>11. Паблик-рилейшенз : Толковый словарь. – 3-е изд.. – Москва : Издательско-торговая корпорация «Дашков и К», 2020. – 198 с.</w:t>
      </w:r>
    </w:p>
    <w:p>
      <w:pPr>
        <w:pStyle w:val="style0"/>
        <w:spacing w:line="360" w:lineRule="auto"/>
        <w:jc w:val="both"/>
      </w:pPr>
      <w:r>
        <w:rPr>
          <w:rFonts w:cs="Times New Roman"/>
          <w:b w:val="false"/>
          <w:bCs w:val="false"/>
          <w:sz w:val="28"/>
          <w:szCs w:val="28"/>
        </w:rPr>
        <w:t>12. Пак, В. В. Современные тенденции развития PR в России / В. В. Пак, Ю. В. Петренко // Научный электронный журнал Меридиан. – 2020. – № 9(43). – С. 547-549.</w:t>
      </w:r>
    </w:p>
    <w:p>
      <w:pPr>
        <w:pStyle w:val="style0"/>
        <w:spacing w:line="360" w:lineRule="auto"/>
        <w:jc w:val="both"/>
      </w:pPr>
      <w:r>
        <w:rPr>
          <w:rFonts w:cs="Times New Roman"/>
          <w:b w:val="false"/>
          <w:bCs w:val="false"/>
          <w:sz w:val="28"/>
          <w:szCs w:val="28"/>
        </w:rPr>
        <w:t>13. Патюкова, Р. В. Традиционные и инновационные технологии в рекламе и PR / Р. В. Патюкова, И. О. Никулин. – Краснодар : Кубанский государственный университет, 2020. – 210 с.</w:t>
      </w:r>
    </w:p>
    <w:p>
      <w:pPr>
        <w:pStyle w:val="style0"/>
        <w:spacing w:line="360" w:lineRule="auto"/>
        <w:jc w:val="both"/>
      </w:pPr>
      <w:r>
        <w:rPr/>
      </w:r>
    </w:p>
    <w:p>
      <w:pPr>
        <w:pStyle w:val="style0"/>
        <w:spacing w:line="360" w:lineRule="auto"/>
        <w:jc w:val="both"/>
      </w:pPr>
      <w:r>
        <w:rPr>
          <w:rFonts w:cs="Times New Roman"/>
          <w:b w:val="false"/>
          <w:bCs w:val="false"/>
          <w:sz w:val="28"/>
          <w:szCs w:val="28"/>
        </w:rPr>
        <w:t xml:space="preserve">14. Почекаев, Р. Ю. История связей с общественностью : учебное пособие для вузов / Р. Ю. Почекаев. – 2-е изд., испр. и доп. – Москва : Издательство Юрайт, 2020. – 223 с. </w:t>
      </w:r>
    </w:p>
    <w:p>
      <w:pPr>
        <w:pStyle w:val="style0"/>
        <w:spacing w:line="360" w:lineRule="auto"/>
        <w:jc w:val="both"/>
      </w:pPr>
      <w:r>
        <w:rPr>
          <w:rFonts w:cs="Times New Roman"/>
          <w:b w:val="false"/>
          <w:bCs w:val="false"/>
          <w:sz w:val="28"/>
          <w:szCs w:val="28"/>
        </w:rPr>
        <w:t>15. Сайкина, О. С. PR-деятельность в период цифровой экономики / О. С. Сайкина, А. В. Колесников // Инновационные процессы в образовании, науке и спорте. – Москва : Общество с ограниченной ответственностью «Русайнс», 2019. – С. 277-284.</w:t>
      </w:r>
    </w:p>
    <w:p>
      <w:pPr>
        <w:pStyle w:val="style0"/>
        <w:spacing w:line="360" w:lineRule="auto"/>
        <w:jc w:val="both"/>
      </w:pPr>
      <w:r>
        <w:rPr>
          <w:rFonts w:cs="Times New Roman"/>
          <w:b w:val="false"/>
          <w:bCs w:val="false"/>
          <w:sz w:val="28"/>
          <w:szCs w:val="28"/>
        </w:rPr>
        <w:t>16. Связи с общественностью в органах власти : Учебник / В. Н. Монахов, М. М. Васильева, В. В. Мехонцев [и др.]. – 2-е изд., пер. и доп. – Москва : Издательство Юрайт, 2020. – 366 с.</w:t>
      </w:r>
    </w:p>
    <w:p>
      <w:pPr>
        <w:pStyle w:val="style0"/>
        <w:spacing w:line="360" w:lineRule="auto"/>
        <w:jc w:val="both"/>
      </w:pPr>
      <w:r>
        <w:rPr>
          <w:rFonts w:cs="Times New Roman"/>
          <w:b w:val="false"/>
          <w:bCs w:val="false"/>
          <w:sz w:val="28"/>
          <w:szCs w:val="28"/>
        </w:rPr>
        <w:t xml:space="preserve">17. Связи с общественностью как социальная инженерия : учебник для вузов / В. А. Ачкасова [и др.] ; под редакцией В. А. Ачкасовой, Л. В. Володиной. – 2-е изд., испр. и доп. – Москва : Издательство Юрайт, 2021. – 351 с. </w:t>
      </w:r>
    </w:p>
    <w:p>
      <w:pPr>
        <w:pStyle w:val="style0"/>
        <w:spacing w:line="360" w:lineRule="auto"/>
        <w:jc w:val="both"/>
      </w:pPr>
      <w:r>
        <w:rPr>
          <w:rFonts w:cs="Times New Roman"/>
          <w:b w:val="false"/>
          <w:bCs w:val="false"/>
          <w:sz w:val="28"/>
          <w:szCs w:val="28"/>
        </w:rPr>
        <w:t xml:space="preserve">18. Синяева, И. М. Реклама и связи с общественностью : учебник для вузов / И. М. Синяева, О. Н. Жильцова, Д. А. Жильцов. – Москва : Издательство Юрайт, 2021. – 552 с. </w:t>
      </w:r>
    </w:p>
    <w:p>
      <w:pPr>
        <w:pStyle w:val="style0"/>
        <w:spacing w:line="360" w:lineRule="auto"/>
        <w:jc w:val="both"/>
      </w:pPr>
      <w:r>
        <w:rPr>
          <w:rFonts w:cs="Times New Roman"/>
          <w:b w:val="false"/>
          <w:bCs w:val="false"/>
          <w:sz w:val="28"/>
          <w:szCs w:val="28"/>
        </w:rPr>
        <w:t xml:space="preserve">19. Фадеева, Е. Н. Связи с общественностью : учебник и практикум для вузов / Е. Н. Фадеева, А. В. Сафронов, М. А. Красильникова. – Москва : Издательство Юрайт, 2021. – 263 с. </w:t>
      </w:r>
    </w:p>
    <w:p>
      <w:pPr>
        <w:pStyle w:val="style0"/>
        <w:spacing w:line="360" w:lineRule="auto"/>
        <w:jc w:val="both"/>
      </w:pPr>
      <w:r>
        <w:rPr>
          <w:rFonts w:cs="Times New Roman"/>
          <w:b w:val="false"/>
          <w:bCs w:val="false"/>
          <w:sz w:val="28"/>
          <w:szCs w:val="28"/>
        </w:rPr>
        <w:t>20. Чумиков, А. Н. Государственный PR: связи с общественностью для государственных организаций и проектов : учебник / А.Н. Чумиков, М.П. Бочаров. – 3-е изд., перераб. и доп. – Москва : ИНФРА-М, 2020. – 343 с.</w:t>
      </w:r>
    </w:p>
    <w:p>
      <w:pPr>
        <w:pStyle w:val="style0"/>
        <w:spacing w:line="360" w:lineRule="auto"/>
        <w:jc w:val="both"/>
      </w:pPr>
      <w:r>
        <w:rPr>
          <w:rFonts w:cs="Times New Roman"/>
          <w:b w:val="false"/>
          <w:bCs w:val="false"/>
          <w:sz w:val="28"/>
          <w:szCs w:val="28"/>
        </w:rPr>
        <w:t xml:space="preserve">21. Чумиков, А. Н. Связи с общественностью. Практикум : учебное пособие для вузов / А. Н. Чумиков. – Москва : Издательство Юрайт, 2021. – 173 с. </w:t>
      </w:r>
    </w:p>
    <w:p>
      <w:pPr>
        <w:pStyle w:val="style0"/>
        <w:spacing w:line="360" w:lineRule="auto"/>
        <w:jc w:val="both"/>
      </w:pPr>
      <w:r>
        <w:rPr>
          <w:rFonts w:cs="Times New Roman"/>
          <w:b w:val="false"/>
          <w:bCs w:val="false"/>
          <w:sz w:val="28"/>
          <w:szCs w:val="28"/>
        </w:rPr>
        <w:t>22. Шарков, Ф. И. Интегрированные коммуникации: реклама, паблик рилейшнз, брендинг / Ф. И. Шарков. – 2-е издание, стереотипное. – Москва : Издательско-торговая корпорация «Дашков и К», 2020. – 322 с.</w:t>
      </w:r>
    </w:p>
    <w:p>
      <w:pPr>
        <w:pStyle w:val="style0"/>
        <w:spacing w:line="360" w:lineRule="auto"/>
        <w:jc w:val="both"/>
      </w:pPr>
      <w:r>
        <w:rPr>
          <w:rFonts w:cs="Times New Roman"/>
          <w:b w:val="false"/>
          <w:bCs w:val="false"/>
          <w:sz w:val="28"/>
          <w:szCs w:val="28"/>
        </w:rPr>
        <w:t>23.Чумиков А.Н. Реклама и связи с общественностью: имидж, репутация, бренд. – М.: Аспект Пресс, 2016. – 159 с.</w:t>
      </w:r>
    </w:p>
    <w:p>
      <w:pPr>
        <w:pStyle w:val="style52"/>
        <w:spacing w:line="360" w:lineRule="auto"/>
        <w:jc w:val="both"/>
      </w:pPr>
      <w:r>
        <w:rPr/>
      </w:r>
    </w:p>
    <w:p>
      <w:pPr>
        <w:pStyle w:val="style0"/>
        <w:spacing w:line="360" w:lineRule="auto"/>
        <w:ind w:firstLine="720" w:left="0" w:right="0"/>
        <w:jc w:val="both"/>
      </w:pPr>
      <w:r>
        <w:rPr>
          <w:b/>
          <w:bCs/>
          <w:sz w:val="28"/>
          <w:szCs w:val="28"/>
        </w:rPr>
        <w:t xml:space="preserve">Интернет-ресурсы </w:t>
      </w:r>
    </w:p>
    <w:p>
      <w:pPr>
        <w:pStyle w:val="style0"/>
        <w:numPr>
          <w:ilvl w:val="0"/>
          <w:numId w:val="2"/>
        </w:numPr>
        <w:spacing w:after="160" w:before="0" w:line="360" w:lineRule="auto"/>
        <w:contextualSpacing/>
        <w:jc w:val="both"/>
      </w:pPr>
      <w:r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 xml:space="preserve">Сайт Российской ассоциации по связям с общественностью (РАСО) – </w:t>
      </w:r>
      <w:hyperlink r:id="rId2">
        <w:r>
          <w:rPr>
            <w:rStyle w:val="style38"/>
            <w:rStyle w:val="style38"/>
            <w:rFonts w:eastAsia="Times New Roman"/>
            <w:sz w:val="28"/>
            <w:szCs w:val="28"/>
            <w:lang w:eastAsia="en-US"/>
          </w:rPr>
          <w:t>www.raso.ru</w:t>
        </w:r>
      </w:hyperlink>
    </w:p>
    <w:p>
      <w:pPr>
        <w:pStyle w:val="style0"/>
        <w:spacing w:after="160" w:before="0" w:line="360" w:lineRule="auto"/>
        <w:contextualSpacing/>
        <w:jc w:val="both"/>
      </w:pPr>
      <w:r>
        <w:rPr>
          <w:rFonts w:eastAsia="Times New Roman"/>
          <w:sz w:val="28"/>
          <w:szCs w:val="28"/>
          <w:lang w:eastAsia="en-US"/>
        </w:rPr>
        <w:tab/>
      </w:r>
    </w:p>
    <w:p>
      <w:pPr>
        <w:pStyle w:val="style0"/>
        <w:numPr>
          <w:ilvl w:val="0"/>
          <w:numId w:val="2"/>
        </w:numPr>
        <w:spacing w:after="160" w:before="0" w:line="360" w:lineRule="auto"/>
        <w:contextualSpacing/>
        <w:jc w:val="both"/>
      </w:pPr>
      <w:r>
        <w:rPr>
          <w:sz w:val="28"/>
          <w:szCs w:val="28"/>
        </w:rPr>
        <w:t>Все о рекламе, маркетинге и PR Advertology.Ru</w:t>
      </w:r>
    </w:p>
    <w:p>
      <w:pPr>
        <w:pStyle w:val="style0"/>
        <w:spacing w:after="160" w:before="0" w:line="360" w:lineRule="auto"/>
        <w:contextualSpacing/>
        <w:jc w:val="both"/>
      </w:pPr>
      <w:r>
        <w:rPr/>
      </w:r>
    </w:p>
    <w:p>
      <w:pPr>
        <w:pStyle w:val="style0"/>
        <w:numPr>
          <w:ilvl w:val="0"/>
          <w:numId w:val="2"/>
        </w:numPr>
        <w:spacing w:after="160" w:before="0" w:line="360" w:lineRule="auto"/>
        <w:contextualSpacing/>
        <w:jc w:val="both"/>
      </w:pPr>
      <w:r>
        <w:rPr>
          <w:sz w:val="28"/>
          <w:szCs w:val="28"/>
        </w:rPr>
        <w:t xml:space="preserve">Российское отраслевое СМИ в области рекламы, маркетинга и PR Sostav.ru </w:t>
      </w:r>
    </w:p>
    <w:p>
      <w:pPr>
        <w:pStyle w:val="style0"/>
        <w:spacing w:after="160" w:before="0" w:line="360" w:lineRule="auto"/>
        <w:contextualSpacing/>
        <w:jc w:val="both"/>
      </w:pPr>
      <w:r>
        <w:rPr/>
      </w:r>
    </w:p>
    <w:p>
      <w:pPr>
        <w:pStyle w:val="style0"/>
        <w:numPr>
          <w:ilvl w:val="0"/>
          <w:numId w:val="2"/>
        </w:numPr>
        <w:spacing w:after="160" w:before="0" w:line="360" w:lineRule="auto"/>
        <w:contextualSpacing/>
        <w:jc w:val="both"/>
      </w:pPr>
      <w:r>
        <w:rPr>
          <w:sz w:val="28"/>
          <w:szCs w:val="28"/>
        </w:rPr>
        <w:t>Ассоциация компаний консультантов в области связей с общественностью akospr.ru</w:t>
      </w:r>
    </w:p>
    <w:p>
      <w:pPr>
        <w:pStyle w:val="style0"/>
        <w:spacing w:line="360" w:lineRule="auto"/>
        <w:jc w:val="both"/>
      </w:pPr>
      <w:r>
        <w:rPr/>
      </w:r>
    </w:p>
    <w:p>
      <w:pPr>
        <w:pStyle w:val="style0"/>
        <w:spacing w:line="360" w:lineRule="auto"/>
        <w:jc w:val="both"/>
      </w:pPr>
      <w:r>
        <w:rPr/>
      </w:r>
    </w:p>
    <w:p>
      <w:pPr>
        <w:pStyle w:val="style0"/>
        <w:spacing w:line="360" w:lineRule="auto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right"/>
      </w:pPr>
      <w:r>
        <w:rPr/>
      </w:r>
    </w:p>
    <w:p>
      <w:pPr>
        <w:pStyle w:val="style0"/>
        <w:jc w:val="right"/>
      </w:pPr>
      <w:r>
        <w:rPr/>
      </w:r>
    </w:p>
    <w:p>
      <w:pPr>
        <w:pStyle w:val="style0"/>
        <w:jc w:val="right"/>
      </w:pPr>
      <w:r>
        <w:rPr/>
      </w:r>
    </w:p>
    <w:p>
      <w:pPr>
        <w:pStyle w:val="style0"/>
        <w:jc w:val="right"/>
      </w:pPr>
      <w:r>
        <w:rPr/>
      </w:r>
    </w:p>
    <w:p>
      <w:pPr>
        <w:pStyle w:val="style0"/>
        <w:jc w:val="right"/>
      </w:pPr>
      <w:r>
        <w:rPr/>
      </w:r>
    </w:p>
    <w:p>
      <w:pPr>
        <w:pStyle w:val="style0"/>
        <w:jc w:val="right"/>
      </w:pPr>
      <w:r>
        <w:rPr/>
      </w:r>
    </w:p>
    <w:p>
      <w:pPr>
        <w:pStyle w:val="style0"/>
        <w:jc w:val="right"/>
      </w:pPr>
      <w:r>
        <w:rPr/>
      </w:r>
    </w:p>
    <w:p>
      <w:pPr>
        <w:pStyle w:val="style0"/>
        <w:jc w:val="right"/>
      </w:pPr>
      <w:r>
        <w:rPr/>
      </w:r>
    </w:p>
    <w:p>
      <w:pPr>
        <w:pStyle w:val="style0"/>
        <w:jc w:val="right"/>
      </w:pPr>
      <w:r>
        <w:rPr/>
      </w:r>
    </w:p>
    <w:p>
      <w:pPr>
        <w:pStyle w:val="style0"/>
        <w:jc w:val="right"/>
      </w:pPr>
      <w:r>
        <w:rPr/>
      </w:r>
    </w:p>
    <w:p>
      <w:pPr>
        <w:pStyle w:val="style0"/>
        <w:jc w:val="right"/>
      </w:pPr>
      <w:r>
        <w:rPr/>
      </w:r>
    </w:p>
    <w:p>
      <w:pPr>
        <w:pStyle w:val="style0"/>
        <w:jc w:val="right"/>
      </w:pPr>
      <w:r>
        <w:rPr/>
      </w:r>
    </w:p>
    <w:p>
      <w:pPr>
        <w:pStyle w:val="style0"/>
        <w:jc w:val="right"/>
      </w:pPr>
      <w:r>
        <w:rPr/>
      </w:r>
    </w:p>
    <w:p>
      <w:pPr>
        <w:pStyle w:val="style0"/>
        <w:jc w:val="right"/>
      </w:pPr>
      <w:r>
        <w:rPr/>
      </w:r>
    </w:p>
    <w:p>
      <w:pPr>
        <w:pStyle w:val="style0"/>
        <w:jc w:val="right"/>
      </w:pPr>
      <w:r>
        <w:rPr/>
      </w:r>
    </w:p>
    <w:p>
      <w:pPr>
        <w:pStyle w:val="style0"/>
        <w:jc w:val="right"/>
      </w:pPr>
      <w:r>
        <w:rPr/>
      </w:r>
    </w:p>
    <w:p>
      <w:pPr>
        <w:pStyle w:val="style0"/>
        <w:spacing w:after="160" w:before="0"/>
        <w:contextualSpacing w:val="false"/>
        <w:jc w:val="right"/>
      </w:pPr>
      <w:r>
        <w:rPr/>
      </w:r>
    </w:p>
    <w:sectPr>
      <w:type w:val="nextPage"/>
      <w:pgSz w:h="16838" w:w="11906"/>
      <w:pgMar w:bottom="708" w:footer="0" w:gutter="0" w:header="0" w:left="1260" w:right="850" w:top="1134"/>
      <w:pgNumType w:fmt="decimal"/>
      <w:formProt w:val="false"/>
      <w:titlePg/>
      <w:textDirection w:val="lrTb"/>
      <w:docGrid w:charSpace="0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OpenSymbol">
    <w:altName w:val="Arial Unicode MS"/>
    <w:charset w:val="80"/>
    <w:family w:val="auto"/>
    <w:pitch w:val="default"/>
  </w:font>
  <w:font w:name="Arial">
    <w:charset w:val="cc"/>
    <w:family w:val="swiss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ind w:hanging="432" w:left="432"/>
      </w:pPr>
    </w:lvl>
    <w:lvl w:ilvl="1">
      <w:start w:val="1"/>
      <w:numFmt w:val="none"/>
      <w:suff w:val="nothing"/>
      <w:lvlText w:val=""/>
      <w:lvlJc w:val="left"/>
      <w:pPr>
        <w:ind w:hanging="576" w:left="576"/>
      </w:pPr>
    </w:lvl>
    <w:lvl w:ilvl="2">
      <w:start w:val="1"/>
      <w:numFmt w:val="none"/>
      <w:suff w:val="nothing"/>
      <w:lvlText w:val=""/>
      <w:lvlJc w:val="left"/>
      <w:pPr>
        <w:ind w:hanging="720" w:left="720"/>
      </w:pPr>
    </w:lvl>
    <w:lvl w:ilvl="3">
      <w:start w:val="1"/>
      <w:numFmt w:val="none"/>
      <w:suff w:val="nothing"/>
      <w:lvlText w:val=""/>
      <w:lvlJc w:val="left"/>
      <w:pPr>
        <w:ind w:hanging="864" w:left="864"/>
      </w:pPr>
    </w:lvl>
    <w:lvl w:ilvl="4">
      <w:start w:val="1"/>
      <w:numFmt w:val="none"/>
      <w:suff w:val="nothing"/>
      <w:lvlText w:val=""/>
      <w:lvlJc w:val="left"/>
      <w:pPr>
        <w:ind w:hanging="1008" w:left="1008"/>
      </w:pPr>
    </w:lvl>
    <w:lvl w:ilvl="5">
      <w:start w:val="1"/>
      <w:numFmt w:val="none"/>
      <w:suff w:val="nothing"/>
      <w:lvlText w:val=""/>
      <w:lvlJc w:val="left"/>
      <w:pPr>
        <w:ind w:hanging="1152" w:left="1152"/>
      </w:pPr>
    </w:lvl>
    <w:lvl w:ilvl="6">
      <w:start w:val="1"/>
      <w:numFmt w:val="none"/>
      <w:suff w:val="nothing"/>
      <w:lvlText w:val=""/>
      <w:lvlJc w:val="left"/>
      <w:pPr>
        <w:ind w:hanging="1296" w:left="1296"/>
      </w:pPr>
    </w:lvl>
    <w:lvl w:ilvl="7">
      <w:start w:val="1"/>
      <w:numFmt w:val="none"/>
      <w:suff w:val="nothing"/>
      <w:lvlText w:val=""/>
      <w:lvlJc w:val="left"/>
      <w:pPr>
        <w:ind w:hanging="1440" w:left="1440"/>
      </w:pPr>
    </w:lvl>
    <w:lvl w:ilvl="8">
      <w:start w:val="1"/>
      <w:numFmt w:val="none"/>
      <w:suff w:val="nothing"/>
      <w:lvlText w:val=""/>
      <w:lvlJc w:val="left"/>
      <w:pPr>
        <w:ind w:hanging="1584" w:left="1584"/>
      </w:pPr>
    </w:lvl>
  </w:abstractNum>
  <w:abstractNum w:abstractNumId="2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suppressAutoHyphens w:val="true"/>
      <w:spacing w:after="160" w:before="0" w:line="252" w:lineRule="auto"/>
      <w:contextualSpacing w:val="false"/>
    </w:pPr>
    <w:rPr>
      <w:rFonts w:ascii="Times New Roman" w:cs="Times New Roman" w:eastAsia="SimSun" w:hAnsi="Times New Roman"/>
      <w:color w:val="00000A"/>
      <w:sz w:val="24"/>
      <w:szCs w:val="24"/>
      <w:lang w:bidi="ar-SA" w:eastAsia="zh-CN" w:val="ru-RU"/>
    </w:rPr>
  </w:style>
  <w:style w:styleId="style1" w:type="paragraph">
    <w:name w:val="Заголовок 1"/>
    <w:basedOn w:val="style0"/>
    <w:next w:val="style1"/>
    <w:pPr>
      <w:keepNext/>
      <w:spacing w:line="360" w:lineRule="auto"/>
      <w:ind w:firstLine="709" w:left="0" w:right="0"/>
      <w:jc w:val="both"/>
    </w:pPr>
    <w:rPr>
      <w:bCs/>
      <w:sz w:val="32"/>
      <w:szCs w:val="32"/>
      <w:lang w:val="ru-RU"/>
    </w:rPr>
  </w:style>
  <w:style w:styleId="style15" w:type="character">
    <w:name w:val="Default Paragraph Font"/>
    <w:next w:val="style15"/>
    <w:rPr/>
  </w:style>
  <w:style w:styleId="style16" w:type="character">
    <w:name w:val="Footer Char"/>
    <w:basedOn w:val="style15"/>
    <w:next w:val="style16"/>
    <w:rPr>
      <w:rFonts w:ascii="Times New Roman" w:cs="Times New Roman" w:eastAsia="SimSun" w:hAnsi="Times New Roman"/>
      <w:sz w:val="24"/>
      <w:szCs w:val="24"/>
      <w:lang w:eastAsia="zh-CN"/>
    </w:rPr>
  </w:style>
  <w:style w:styleId="style17" w:type="character">
    <w:name w:val="page number"/>
    <w:basedOn w:val="style15"/>
    <w:next w:val="style17"/>
    <w:rPr>
      <w:rFonts w:cs="Times New Roman"/>
    </w:rPr>
  </w:style>
  <w:style w:styleId="style18" w:type="character">
    <w:name w:val="ListLabel 1"/>
    <w:next w:val="style18"/>
    <w:rPr>
      <w:rFonts w:cs="Times New Roman"/>
    </w:rPr>
  </w:style>
  <w:style w:styleId="style19" w:type="character">
    <w:name w:val="Стандартный HTML Знак"/>
    <w:basedOn w:val="style15"/>
    <w:next w:val="style19"/>
    <w:rPr>
      <w:rFonts w:ascii="Courier New" w:cs="Courier New" w:eastAsia="Times New Roman" w:hAnsi="Courier New"/>
      <w:sz w:val="20"/>
      <w:szCs w:val="20"/>
      <w:lang w:eastAsia="zh-CN"/>
    </w:rPr>
  </w:style>
  <w:style w:styleId="style20" w:type="character">
    <w:name w:val="ListLabel 2"/>
    <w:next w:val="style20"/>
    <w:rPr>
      <w:rFonts w:cs="Times New Roman"/>
      <w:sz w:val="28"/>
      <w:szCs w:val="28"/>
    </w:rPr>
  </w:style>
  <w:style w:styleId="style21" w:type="character">
    <w:name w:val="ListLabel 3"/>
    <w:next w:val="style21"/>
    <w:rPr>
      <w:sz w:val="28"/>
      <w:szCs w:val="28"/>
    </w:rPr>
  </w:style>
  <w:style w:styleId="style22" w:type="character">
    <w:name w:val="ListLabel 4"/>
    <w:next w:val="style22"/>
    <w:rPr>
      <w:sz w:val="28"/>
      <w:szCs w:val="28"/>
    </w:rPr>
  </w:style>
  <w:style w:styleId="style23" w:type="character">
    <w:name w:val="WW8Num4z0"/>
    <w:next w:val="style23"/>
    <w:rPr>
      <w:rFonts w:ascii="Times New Roman" w:cs="Times New Roman" w:hAnsi="Times New Roman"/>
      <w:sz w:val="24"/>
      <w:szCs w:val="24"/>
    </w:rPr>
  </w:style>
  <w:style w:styleId="style24" w:type="character">
    <w:name w:val="WW8Num1z0"/>
    <w:next w:val="style24"/>
    <w:rPr>
      <w:rFonts w:ascii="Times New Roman" w:cs="Times New Roman" w:hAnsi="Times New Roman"/>
      <w:sz w:val="28"/>
      <w:szCs w:val="28"/>
    </w:rPr>
  </w:style>
  <w:style w:styleId="style25" w:type="character">
    <w:name w:val="ListLabel 5"/>
    <w:next w:val="style25"/>
    <w:rPr>
      <w:sz w:val="28"/>
      <w:szCs w:val="28"/>
    </w:rPr>
  </w:style>
  <w:style w:styleId="style26" w:type="character">
    <w:name w:val="ListLabel 6"/>
    <w:next w:val="style26"/>
    <w:rPr>
      <w:rFonts w:cs="Times New Roman"/>
      <w:sz w:val="24"/>
      <w:szCs w:val="24"/>
    </w:rPr>
  </w:style>
  <w:style w:styleId="style27" w:type="character">
    <w:name w:val="ListLabel 7"/>
    <w:next w:val="style27"/>
    <w:rPr>
      <w:sz w:val="28"/>
      <w:szCs w:val="28"/>
    </w:rPr>
  </w:style>
  <w:style w:styleId="style28" w:type="character">
    <w:name w:val="ListLabel 8"/>
    <w:next w:val="style28"/>
    <w:rPr>
      <w:rFonts w:cs="Times New Roman"/>
      <w:sz w:val="24"/>
      <w:szCs w:val="24"/>
    </w:rPr>
  </w:style>
  <w:style w:styleId="style29" w:type="character">
    <w:name w:val="ListLabel 9"/>
    <w:next w:val="style29"/>
    <w:rPr>
      <w:sz w:val="28"/>
      <w:szCs w:val="28"/>
    </w:rPr>
  </w:style>
  <w:style w:styleId="style30" w:type="character">
    <w:name w:val="ListLabel 10"/>
    <w:next w:val="style30"/>
    <w:rPr>
      <w:rFonts w:cs="Times New Roman"/>
      <w:sz w:val="24"/>
      <w:szCs w:val="24"/>
    </w:rPr>
  </w:style>
  <w:style w:styleId="style31" w:type="character">
    <w:name w:val="ListLabel 11"/>
    <w:next w:val="style31"/>
    <w:rPr>
      <w:sz w:val="28"/>
      <w:szCs w:val="28"/>
    </w:rPr>
  </w:style>
  <w:style w:styleId="style32" w:type="character">
    <w:name w:val="ListLabel 12"/>
    <w:next w:val="style32"/>
    <w:rPr>
      <w:rFonts w:cs="Times New Roman"/>
      <w:sz w:val="24"/>
      <w:szCs w:val="24"/>
    </w:rPr>
  </w:style>
  <w:style w:styleId="style33" w:type="character">
    <w:name w:val="Маркеры списка"/>
    <w:next w:val="style33"/>
    <w:rPr>
      <w:rFonts w:ascii="OpenSymbol" w:cs="OpenSymbol" w:eastAsia="OpenSymbol" w:hAnsi="OpenSymbol"/>
    </w:rPr>
  </w:style>
  <w:style w:styleId="style34" w:type="character">
    <w:name w:val="ListLabel 13"/>
    <w:next w:val="style34"/>
    <w:rPr>
      <w:sz w:val="28"/>
      <w:szCs w:val="28"/>
    </w:rPr>
  </w:style>
  <w:style w:styleId="style35" w:type="character">
    <w:name w:val="ListLabel 14"/>
    <w:next w:val="style35"/>
    <w:rPr>
      <w:rFonts w:cs="Times New Roman"/>
      <w:sz w:val="24"/>
      <w:szCs w:val="24"/>
    </w:rPr>
  </w:style>
  <w:style w:styleId="style36" w:type="character">
    <w:name w:val="ListLabel 15"/>
    <w:next w:val="style36"/>
    <w:rPr>
      <w:sz w:val="28"/>
      <w:szCs w:val="28"/>
    </w:rPr>
  </w:style>
  <w:style w:styleId="style37" w:type="character">
    <w:name w:val="ListLabel 16"/>
    <w:next w:val="style37"/>
    <w:rPr>
      <w:rFonts w:cs="Times New Roman"/>
      <w:sz w:val="24"/>
      <w:szCs w:val="24"/>
    </w:rPr>
  </w:style>
  <w:style w:styleId="style38" w:type="character">
    <w:name w:val="Интернет-ссылка"/>
    <w:next w:val="style38"/>
    <w:rPr>
      <w:color w:val="000080"/>
      <w:u w:val="single"/>
      <w:lang w:bidi="zxx-" w:eastAsia="zxx-" w:val="zxx-"/>
    </w:rPr>
  </w:style>
  <w:style w:styleId="style39" w:type="character">
    <w:name w:val="ListLabel 17"/>
    <w:next w:val="style39"/>
    <w:rPr>
      <w:sz w:val="28"/>
      <w:szCs w:val="28"/>
    </w:rPr>
  </w:style>
  <w:style w:styleId="style40" w:type="paragraph">
    <w:name w:val="Заголовок"/>
    <w:basedOn w:val="style0"/>
    <w:next w:val="style41"/>
    <w:pPr>
      <w:keepNext/>
      <w:spacing w:after="120" w:before="240"/>
      <w:contextualSpacing w:val="false"/>
    </w:pPr>
    <w:rPr>
      <w:rFonts w:ascii="Arial" w:cs="Lucida Sans" w:eastAsia="Microsoft YaHei" w:hAnsi="Arial"/>
      <w:sz w:val="28"/>
      <w:szCs w:val="28"/>
    </w:rPr>
  </w:style>
  <w:style w:styleId="style41" w:type="paragraph">
    <w:name w:val="Основной текст"/>
    <w:basedOn w:val="style0"/>
    <w:next w:val="style41"/>
    <w:pPr>
      <w:spacing w:after="120" w:before="0"/>
      <w:contextualSpacing w:val="false"/>
    </w:pPr>
    <w:rPr/>
  </w:style>
  <w:style w:styleId="style42" w:type="paragraph">
    <w:name w:val="Список"/>
    <w:basedOn w:val="style41"/>
    <w:next w:val="style42"/>
    <w:pPr/>
    <w:rPr>
      <w:rFonts w:cs="Lucida Sans"/>
    </w:rPr>
  </w:style>
  <w:style w:styleId="style43" w:type="paragraph">
    <w:name w:val="Название"/>
    <w:basedOn w:val="style0"/>
    <w:next w:val="style43"/>
    <w:pPr>
      <w:suppressLineNumbers/>
      <w:spacing w:after="120" w:before="120"/>
      <w:contextualSpacing w:val="false"/>
    </w:pPr>
    <w:rPr>
      <w:rFonts w:cs="Lucida Sans"/>
      <w:i/>
      <w:iCs/>
      <w:sz w:val="24"/>
      <w:szCs w:val="24"/>
    </w:rPr>
  </w:style>
  <w:style w:styleId="style44" w:type="paragraph">
    <w:name w:val="Указатель"/>
    <w:basedOn w:val="style0"/>
    <w:next w:val="style44"/>
    <w:pPr>
      <w:suppressLineNumbers/>
    </w:pPr>
    <w:rPr>
      <w:rFonts w:cs="Lucida Sans"/>
    </w:rPr>
  </w:style>
  <w:style w:styleId="style45" w:type="paragraph">
    <w:name w:val="Заглавие"/>
    <w:basedOn w:val="style0"/>
    <w:next w:val="style45"/>
    <w:pPr>
      <w:suppressLineNumbers/>
      <w:spacing w:after="120" w:before="120"/>
      <w:contextualSpacing w:val="false"/>
    </w:pPr>
    <w:rPr>
      <w:rFonts w:cs="Lucida Sans"/>
      <w:i/>
      <w:iCs/>
    </w:rPr>
  </w:style>
  <w:style w:styleId="style46" w:type="paragraph">
    <w:name w:val="index heading"/>
    <w:basedOn w:val="style0"/>
    <w:next w:val="style46"/>
    <w:pPr>
      <w:suppressLineNumbers/>
    </w:pPr>
    <w:rPr>
      <w:rFonts w:cs="Lucida Sans"/>
    </w:rPr>
  </w:style>
  <w:style w:styleId="style47" w:type="paragraph">
    <w:name w:val="Нижний колонтитул"/>
    <w:basedOn w:val="style0"/>
    <w:next w:val="style47"/>
    <w:pPr>
      <w:tabs>
        <w:tab w:leader="none" w:pos="4677" w:val="center"/>
        <w:tab w:leader="none" w:pos="9355" w:val="right"/>
      </w:tabs>
    </w:pPr>
    <w:rPr/>
  </w:style>
  <w:style w:styleId="style48" w:type="paragraph">
    <w:name w:val="List Paragraph"/>
    <w:basedOn w:val="style0"/>
    <w:next w:val="style48"/>
    <w:pPr>
      <w:spacing w:after="0" w:before="0"/>
      <w:ind w:hanging="0" w:left="720" w:right="0"/>
      <w:contextualSpacing/>
    </w:pPr>
    <w:rPr/>
  </w:style>
  <w:style w:styleId="style49" w:type="paragraph">
    <w:name w:val="Содержимое врезки"/>
    <w:basedOn w:val="style41"/>
    <w:next w:val="style49"/>
    <w:pPr/>
    <w:rPr/>
  </w:style>
  <w:style w:styleId="style50" w:type="paragraph">
    <w:name w:val="HTML Preformatted"/>
    <w:basedOn w:val="style0"/>
    <w:next w:val="style50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suppressAutoHyphens w:val="true"/>
      <w:spacing w:after="0" w:before="0" w:line="100" w:lineRule="atLeast"/>
      <w:contextualSpacing w:val="false"/>
    </w:pPr>
    <w:rPr>
      <w:rFonts w:ascii="Courier New" w:cs="Courier New" w:eastAsia="Times New Roman" w:hAnsi="Courier New"/>
      <w:sz w:val="20"/>
      <w:szCs w:val="20"/>
      <w:lang w:eastAsia="zh-CN"/>
    </w:rPr>
  </w:style>
  <w:style w:styleId="style51" w:type="paragraph">
    <w:name w:val="ConsPlusNonformat"/>
    <w:next w:val="style51"/>
    <w:pPr>
      <w:widowControl/>
      <w:suppressAutoHyphens w:val="true"/>
    </w:pPr>
    <w:rPr>
      <w:rFonts w:ascii="Courier New" w:cs="Courier New" w:eastAsia="Times New Roman" w:hAnsi="Courier New"/>
      <w:color w:val="00000A"/>
      <w:sz w:val="20"/>
      <w:szCs w:val="20"/>
      <w:lang w:bidi="ar-SA" w:eastAsia="zh-CN" w:val="ru-RU"/>
    </w:rPr>
  </w:style>
  <w:style w:styleId="style52" w:type="paragraph">
    <w:name w:val="Абзац списка"/>
    <w:basedOn w:val="style0"/>
    <w:next w:val="style52"/>
    <w:pPr>
      <w:ind w:hanging="0" w:left="708" w:right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aso.ru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Application>LibreOffice/4.0.3.3$Windows_x86 LibreOffice_project/0eaa50a932c8f2199a615e1eb30f7ac74279539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2014-12-02T18:46:00.00Z</dcterms:created>
  <dc:creator>Маша</dc:creator>
  <cp:lastModifiedBy>--</cp:lastModifiedBy>
  <dcterms:modified xsi:type="dcterms:W3CDTF">2017-09-28T12:05:00.00Z</dcterms:modified>
  <cp:revision>48</cp:revision>
</cp:coreProperties>
</file>